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CB5CD" w14:textId="76EEFB74" w:rsidR="00D627DF" w:rsidRPr="003A3A13" w:rsidRDefault="00102704" w:rsidP="00102704">
      <w:pPr>
        <w:jc w:val="center"/>
        <w:rPr>
          <w:b/>
          <w:smallCaps/>
        </w:rPr>
      </w:pPr>
      <w:r w:rsidRPr="003A3A13">
        <w:rPr>
          <w:b/>
          <w:smallCaps/>
        </w:rPr>
        <w:t>Journée de recherche</w:t>
      </w:r>
    </w:p>
    <w:p w14:paraId="4C29DF12" w14:textId="77777777" w:rsidR="003A3A13" w:rsidRPr="003A3A13" w:rsidRDefault="003A3A13" w:rsidP="00102704">
      <w:pPr>
        <w:jc w:val="center"/>
        <w:rPr>
          <w:b/>
          <w:smallCaps/>
        </w:rPr>
      </w:pPr>
    </w:p>
    <w:p w14:paraId="317F5440" w14:textId="77777777" w:rsidR="00102704" w:rsidRPr="003A3A13" w:rsidRDefault="00102704" w:rsidP="00102704">
      <w:pPr>
        <w:jc w:val="center"/>
        <w:rPr>
          <w:b/>
        </w:rPr>
      </w:pPr>
      <w:r w:rsidRPr="003A3A13">
        <w:rPr>
          <w:b/>
        </w:rPr>
        <w:t xml:space="preserve">Actualité des pratiques pédagogiques </w:t>
      </w:r>
    </w:p>
    <w:p w14:paraId="5098896C" w14:textId="77777777" w:rsidR="00102704" w:rsidRPr="003A3A13" w:rsidRDefault="00102704" w:rsidP="00102704">
      <w:pPr>
        <w:jc w:val="center"/>
        <w:rPr>
          <w:b/>
        </w:rPr>
      </w:pPr>
      <w:proofErr w:type="gramStart"/>
      <w:r w:rsidRPr="003A3A13">
        <w:rPr>
          <w:b/>
        </w:rPr>
        <w:t>dans</w:t>
      </w:r>
      <w:proofErr w:type="gramEnd"/>
      <w:r w:rsidRPr="003A3A13">
        <w:rPr>
          <w:b/>
        </w:rPr>
        <w:t xml:space="preserve"> les classes et écoles différentes : </w:t>
      </w:r>
    </w:p>
    <w:p w14:paraId="4C1FB1A6" w14:textId="06DCE6A7" w:rsidR="00102704" w:rsidRPr="003A3A13" w:rsidRDefault="00102704" w:rsidP="00102704">
      <w:pPr>
        <w:pBdr>
          <w:bottom w:val="single" w:sz="4" w:space="1" w:color="auto"/>
        </w:pBdr>
        <w:jc w:val="center"/>
        <w:rPr>
          <w:b/>
        </w:rPr>
      </w:pPr>
      <w:proofErr w:type="gramStart"/>
      <w:r w:rsidRPr="003A3A13">
        <w:rPr>
          <w:b/>
        </w:rPr>
        <w:t>bricolages</w:t>
      </w:r>
      <w:proofErr w:type="gramEnd"/>
      <w:r w:rsidRPr="003A3A13">
        <w:rPr>
          <w:b/>
        </w:rPr>
        <w:t>, hybridations, appropriations…</w:t>
      </w:r>
    </w:p>
    <w:p w14:paraId="7D5F94FF" w14:textId="77777777" w:rsidR="003A3A13" w:rsidRPr="003A3A13" w:rsidRDefault="003A3A13" w:rsidP="00102704">
      <w:pPr>
        <w:pBdr>
          <w:bottom w:val="single" w:sz="4" w:space="1" w:color="auto"/>
        </w:pBdr>
        <w:jc w:val="center"/>
        <w:rPr>
          <w:rFonts w:eastAsia="Times New Roman"/>
          <w:b/>
        </w:rPr>
      </w:pPr>
    </w:p>
    <w:p w14:paraId="20E73771" w14:textId="77777777" w:rsidR="00D627DF" w:rsidRPr="003A3A13" w:rsidRDefault="00D627DF" w:rsidP="00D627DF">
      <w:pPr>
        <w:rPr>
          <w:rFonts w:eastAsia="Times New Roman"/>
        </w:rPr>
      </w:pPr>
    </w:p>
    <w:p w14:paraId="5993D590" w14:textId="77777777" w:rsidR="00102704" w:rsidRPr="003A3A13" w:rsidRDefault="00102704" w:rsidP="00D627DF">
      <w:pPr>
        <w:rPr>
          <w:rFonts w:eastAsia="Times New Roman"/>
        </w:rPr>
      </w:pPr>
    </w:p>
    <w:p w14:paraId="0F5ED450" w14:textId="6E12D08A" w:rsidR="00102704" w:rsidRPr="003A3A13" w:rsidRDefault="008A3EE7" w:rsidP="00D627DF">
      <w:pPr>
        <w:jc w:val="center"/>
        <w:rPr>
          <w:rFonts w:eastAsia="Times New Roman"/>
          <w:b/>
        </w:rPr>
      </w:pPr>
      <w:r w:rsidRPr="003A3A13">
        <w:rPr>
          <w:rFonts w:eastAsia="Times New Roman"/>
          <w:b/>
        </w:rPr>
        <w:t>Les</w:t>
      </w:r>
      <w:r w:rsidR="003A3A13" w:rsidRPr="003A3A13">
        <w:rPr>
          <w:rFonts w:eastAsia="Times New Roman"/>
          <w:b/>
        </w:rPr>
        <w:t xml:space="preserve"> pratiques pédagogiques référées</w:t>
      </w:r>
      <w:r w:rsidR="00D627DF" w:rsidRPr="003A3A13">
        <w:rPr>
          <w:rFonts w:eastAsia="Times New Roman"/>
          <w:b/>
        </w:rPr>
        <w:t xml:space="preserve"> à Montessori</w:t>
      </w:r>
      <w:r w:rsidR="00102704" w:rsidRPr="003A3A13">
        <w:rPr>
          <w:rFonts w:eastAsia="Times New Roman"/>
          <w:b/>
        </w:rPr>
        <w:t xml:space="preserve"> </w:t>
      </w:r>
    </w:p>
    <w:p w14:paraId="6146A5D8" w14:textId="60092315" w:rsidR="00D627DF" w:rsidRPr="003A3A13" w:rsidRDefault="00102704" w:rsidP="00D627DF">
      <w:pPr>
        <w:jc w:val="center"/>
        <w:rPr>
          <w:rFonts w:eastAsia="Times New Roman"/>
          <w:b/>
        </w:rPr>
      </w:pPr>
      <w:r w:rsidRPr="003A3A13">
        <w:rPr>
          <w:rFonts w:eastAsia="Times New Roman"/>
          <w:b/>
        </w:rPr>
        <w:t>à l’école publique et</w:t>
      </w:r>
      <w:r w:rsidR="00D627DF" w:rsidRPr="003A3A13">
        <w:rPr>
          <w:rFonts w:eastAsia="Times New Roman"/>
          <w:b/>
        </w:rPr>
        <w:t> </w:t>
      </w:r>
      <w:r w:rsidRPr="003A3A13">
        <w:rPr>
          <w:rFonts w:eastAsia="Times New Roman"/>
          <w:b/>
        </w:rPr>
        <w:t xml:space="preserve">dans des écoles privées hors contrat </w:t>
      </w:r>
    </w:p>
    <w:p w14:paraId="6E55275B" w14:textId="77777777" w:rsidR="0094424D" w:rsidRDefault="0094424D" w:rsidP="00D627DF">
      <w:pPr>
        <w:jc w:val="center"/>
        <w:rPr>
          <w:rFonts w:eastAsia="Times New Roman"/>
          <w:b/>
        </w:rPr>
      </w:pPr>
    </w:p>
    <w:p w14:paraId="796E735A" w14:textId="77777777" w:rsidR="008F0F1C" w:rsidRPr="003A3A13" w:rsidRDefault="008F0F1C" w:rsidP="00D627DF">
      <w:pPr>
        <w:jc w:val="center"/>
        <w:rPr>
          <w:rFonts w:eastAsia="Times New Roman"/>
          <w:b/>
        </w:rPr>
      </w:pPr>
      <w:bookmarkStart w:id="0" w:name="_GoBack"/>
      <w:bookmarkEnd w:id="0"/>
    </w:p>
    <w:p w14:paraId="53D3D0BC" w14:textId="77777777" w:rsidR="00D627DF" w:rsidRDefault="0094424D" w:rsidP="0094424D">
      <w:pPr>
        <w:jc w:val="right"/>
        <w:rPr>
          <w:rFonts w:eastAsia="Times New Roman"/>
        </w:rPr>
      </w:pPr>
      <w:r w:rsidRPr="003A3A13">
        <w:rPr>
          <w:rFonts w:eastAsia="Times New Roman"/>
        </w:rPr>
        <w:t>Françoise Carraud</w:t>
      </w:r>
    </w:p>
    <w:p w14:paraId="0ECEC3D1" w14:textId="5474CBF5" w:rsidR="008F0F1C" w:rsidRDefault="008F0F1C" w:rsidP="0094424D">
      <w:pPr>
        <w:jc w:val="right"/>
        <w:rPr>
          <w:rFonts w:eastAsia="Times New Roman"/>
        </w:rPr>
      </w:pPr>
      <w:r>
        <w:rPr>
          <w:rFonts w:eastAsia="Times New Roman"/>
        </w:rPr>
        <w:t>Université Lumière-Lyon2, ISPEF</w:t>
      </w:r>
    </w:p>
    <w:p w14:paraId="1FC158E9" w14:textId="65FEC23C" w:rsidR="008F0F1C" w:rsidRPr="008F0F1C" w:rsidRDefault="008F0F1C" w:rsidP="0094424D">
      <w:pPr>
        <w:jc w:val="right"/>
        <w:rPr>
          <w:rFonts w:eastAsia="Times New Roman"/>
          <w:i/>
        </w:rPr>
      </w:pPr>
      <w:r w:rsidRPr="008F0F1C">
        <w:rPr>
          <w:rFonts w:eastAsia="Times New Roman"/>
          <w:i/>
        </w:rPr>
        <w:t>Éducation, cultures, politiques</w:t>
      </w:r>
    </w:p>
    <w:p w14:paraId="7FFB8DBE" w14:textId="77777777" w:rsidR="0094424D" w:rsidRPr="003A3A13" w:rsidRDefault="0094424D" w:rsidP="00D627DF">
      <w:pPr>
        <w:jc w:val="both"/>
      </w:pPr>
    </w:p>
    <w:p w14:paraId="26BB0CEE" w14:textId="77777777" w:rsidR="00102704" w:rsidRPr="003A3A13" w:rsidRDefault="00102704" w:rsidP="00D627DF">
      <w:pPr>
        <w:jc w:val="both"/>
      </w:pPr>
    </w:p>
    <w:p w14:paraId="70799CDE" w14:textId="4843143E" w:rsidR="00D627DF" w:rsidRPr="003A3A13" w:rsidRDefault="003A3A13" w:rsidP="00D627DF">
      <w:pPr>
        <w:jc w:val="both"/>
      </w:pPr>
      <w:r w:rsidRPr="003A3A13">
        <w:t>Aujourd’hui l</w:t>
      </w:r>
      <w:r w:rsidR="00D627DF" w:rsidRPr="003A3A13">
        <w:t>es références à Montessori sont très présentes dans les médias (radio, télévision, internet, journaux, magazines, ouvrages, etc.). Difficile d’ignorer le nom de cette femme médecin pédagogue du début du XX</w:t>
      </w:r>
      <w:r w:rsidR="00D627DF" w:rsidRPr="003A3A13">
        <w:rPr>
          <w:vertAlign w:val="superscript"/>
        </w:rPr>
        <w:t>e</w:t>
      </w:r>
      <w:r w:rsidR="00D627DF" w:rsidRPr="003A3A13">
        <w:t>. Au-delà de cette médiatisation, les professionnels de la petite enfance et notamment les enseignants de maternelle, se réfèrent aussi de plus en plus à cette figure historique et à ses écrits.</w:t>
      </w:r>
    </w:p>
    <w:p w14:paraId="6A337098" w14:textId="77777777" w:rsidR="00D627DF" w:rsidRPr="003A3A13" w:rsidRDefault="00D627DF" w:rsidP="00D627DF">
      <w:pPr>
        <w:jc w:val="both"/>
      </w:pPr>
    </w:p>
    <w:p w14:paraId="52736C2E" w14:textId="77777777" w:rsidR="00D627DF" w:rsidRPr="003A3A13" w:rsidRDefault="00D627DF" w:rsidP="00D627DF">
      <w:pPr>
        <w:jc w:val="both"/>
      </w:pPr>
      <w:r w:rsidRPr="003A3A13">
        <w:t xml:space="preserve">À partir d’enquêtes empiriques (observations ethnographiques et entretiens compréhensifs) réalisées dans des classes et écoles publiques auprès d’enseignantes (x5) ayant opté pour cette forme pédagogique, complétées par des enquêtes conduites dans des écoles privées hors contrat (3 écoles, 7enseignant.es) récemment ouvertes, cette communication s’intéressera à l’activité ordinaire des professionnelles dans une approche ergonomique (Daniellou, 1996) et à leurs modes de justification (Boltanski &amp; Thévenot, 1991). </w:t>
      </w:r>
    </w:p>
    <w:p w14:paraId="118692BD" w14:textId="77777777" w:rsidR="003A3A13" w:rsidRPr="003A3A13" w:rsidRDefault="003A3A13" w:rsidP="00D627DF">
      <w:pPr>
        <w:jc w:val="both"/>
      </w:pPr>
    </w:p>
    <w:p w14:paraId="69FA0112" w14:textId="4F3DDD49" w:rsidR="00D627DF" w:rsidRPr="003A3A13" w:rsidRDefault="003A3A13" w:rsidP="00D627DF">
      <w:pPr>
        <w:jc w:val="both"/>
      </w:pPr>
      <w:r w:rsidRPr="003A3A13">
        <w:t xml:space="preserve">Cette communication se propose d’identifier et de comprendre cette référence pédagogique à partir de l’étude de l’activité ordinaire de ces enseignants (organisation du temps, de l’espace, du matériel, relations avec les enfants, avec les collègues, etc.). </w:t>
      </w:r>
      <w:r w:rsidR="00D627DF" w:rsidRPr="003A3A13">
        <w:t xml:space="preserve">En quoi ce recours à Montessori inscrit-il leur activité </w:t>
      </w:r>
      <w:r w:rsidRPr="003A3A13">
        <w:t>dans des formes pédagogiques différentes ? Selon q</w:t>
      </w:r>
      <w:r w:rsidR="00A37601">
        <w:t>uels processus de traduction (</w:t>
      </w:r>
      <w:proofErr w:type="spellStart"/>
      <w:r w:rsidR="00A37601">
        <w:t>A</w:t>
      </w:r>
      <w:r w:rsidRPr="003A3A13">
        <w:t>krich</w:t>
      </w:r>
      <w:proofErr w:type="spellEnd"/>
      <w:r w:rsidR="00DD2538">
        <w:t xml:space="preserve">, </w:t>
      </w:r>
      <w:proofErr w:type="spellStart"/>
      <w:r w:rsidR="00DD2538">
        <w:t>Callon</w:t>
      </w:r>
      <w:proofErr w:type="spellEnd"/>
      <w:r w:rsidR="00DD2538">
        <w:t xml:space="preserve"> et </w:t>
      </w:r>
      <w:proofErr w:type="spellStart"/>
      <w:r w:rsidR="00DD2538">
        <w:t>Latour</w:t>
      </w:r>
      <w:proofErr w:type="spellEnd"/>
      <w:r w:rsidR="00DD2538">
        <w:t>, 2006) ?</w:t>
      </w:r>
    </w:p>
    <w:p w14:paraId="3707F24C" w14:textId="77777777" w:rsidR="00D627DF" w:rsidRPr="003A3A13" w:rsidRDefault="00D627DF" w:rsidP="00D627DF">
      <w:pPr>
        <w:jc w:val="both"/>
      </w:pPr>
    </w:p>
    <w:p w14:paraId="46E71085" w14:textId="77777777" w:rsidR="00D627DF" w:rsidRPr="003A3A13" w:rsidRDefault="00D627DF" w:rsidP="00D627DF">
      <w:pPr>
        <w:jc w:val="both"/>
      </w:pPr>
      <w:r w:rsidRPr="003A3A13">
        <w:t xml:space="preserve">Cette réflexion s’inscrit dans un ensemble de travaux conduits sur l’école maternelle aujourd’hui et ses évolutions ces dernières années (Garnier, 2016) ; elle s’adosse notamment sur une enquête ethnographique conduite durant trois années dans une école maternelle ordinaire (Carraud, 2016). Dans cette perspective, une hypothèse sera particulièrement explorée : dans quelle mesure le recours à la pédagogie Montessori permet aux enseignantes de maternelle de résoudre, en partie, les paradoxes des évolutions de l’école maternelle aujourd’hui ? Ce faisant, contribue-t-il à une évolution du métier (Clot, 2007), en dehors ou à la marge de l’institution scolaire ? </w:t>
      </w:r>
    </w:p>
    <w:p w14:paraId="2971A006" w14:textId="77777777" w:rsidR="00D627DF" w:rsidRPr="003A3A13" w:rsidRDefault="00D627DF" w:rsidP="00D627DF">
      <w:pPr>
        <w:jc w:val="both"/>
      </w:pPr>
    </w:p>
    <w:p w14:paraId="0714DAA1" w14:textId="77777777" w:rsidR="00D627DF" w:rsidRPr="003A3A13" w:rsidRDefault="00D627DF" w:rsidP="00D627DF">
      <w:pPr>
        <w:jc w:val="both"/>
      </w:pPr>
      <w:r w:rsidRPr="003A3A13">
        <w:t xml:space="preserve">En effet, entre les exigences d’efficacité (la fréquentation de l’école maternelle étant supposée permettre de mieux réussir l’ensemble de la scolarité, notamment pour les enfants de milieux défavorisés), les demandes d’individualisation et les nouvelles injonctions à la bienveillance, l’activité des professionnelles est en tension entre des principes et des gestes professionnels potentiellement divergents. Comment ces tensions sont-elles résolues en situation, au </w:t>
      </w:r>
      <w:r w:rsidRPr="003A3A13">
        <w:lastRenderedPageBreak/>
        <w:t xml:space="preserve">quotidien des journées avec les enfants dans l’école et dans la classe ? En quoi les références à Montessori, à ses écrits, à ses conceptions de l’enfant, à sa pédagogie, aux méthodes et dispositifs issus de son travail, sont-elles des ressources pour dénouer ces tensions et pour travailler à l’école maternelle aujourd’hui ? Si ces ressources modifient l’activité des enseignantes, contribuent-elles, ou pas, à transformer la forme scolaire (Vincent, 1980 ; </w:t>
      </w:r>
      <w:proofErr w:type="spellStart"/>
      <w:r w:rsidRPr="003A3A13">
        <w:t>Lahire</w:t>
      </w:r>
      <w:proofErr w:type="spellEnd"/>
      <w:r w:rsidRPr="003A3A13">
        <w:t>, 2008) ? C’est ce que cette communication propose de donner à voir et à comprendre.</w:t>
      </w:r>
    </w:p>
    <w:p w14:paraId="4613FACD" w14:textId="77777777" w:rsidR="00D627DF" w:rsidRPr="003A3A13" w:rsidRDefault="00D627DF" w:rsidP="00D627DF">
      <w:pPr>
        <w:jc w:val="both"/>
      </w:pPr>
    </w:p>
    <w:p w14:paraId="078959AD" w14:textId="77777777" w:rsidR="00D627DF" w:rsidRPr="003A3A13" w:rsidRDefault="00D627DF" w:rsidP="00D627DF">
      <w:pPr>
        <w:jc w:val="both"/>
        <w:rPr>
          <w:b/>
        </w:rPr>
      </w:pPr>
      <w:r w:rsidRPr="003A3A13">
        <w:rPr>
          <w:b/>
        </w:rPr>
        <w:t>Bibliographie</w:t>
      </w:r>
    </w:p>
    <w:p w14:paraId="3B41F519" w14:textId="77777777" w:rsidR="00D627DF" w:rsidRPr="003A3A13" w:rsidRDefault="00D627DF" w:rsidP="00D627DF">
      <w:pPr>
        <w:jc w:val="both"/>
      </w:pPr>
    </w:p>
    <w:p w14:paraId="11CC7303" w14:textId="24DA0608" w:rsidR="003A3A13" w:rsidRPr="003A3A13" w:rsidRDefault="003A3A13" w:rsidP="008E5B91">
      <w:pPr>
        <w:spacing w:after="120"/>
        <w:jc w:val="both"/>
      </w:pPr>
      <w:proofErr w:type="spellStart"/>
      <w:r w:rsidRPr="003A3A13">
        <w:rPr>
          <w:rFonts w:eastAsia="Times New Roman"/>
        </w:rPr>
        <w:t>Akrich</w:t>
      </w:r>
      <w:proofErr w:type="spellEnd"/>
      <w:r w:rsidRPr="003A3A13">
        <w:rPr>
          <w:rFonts w:eastAsia="Times New Roman"/>
        </w:rPr>
        <w:t xml:space="preserve">, M., </w:t>
      </w:r>
      <w:proofErr w:type="spellStart"/>
      <w:r w:rsidRPr="003A3A13">
        <w:rPr>
          <w:rFonts w:eastAsia="Times New Roman"/>
        </w:rPr>
        <w:t>Callon</w:t>
      </w:r>
      <w:proofErr w:type="spellEnd"/>
      <w:r w:rsidRPr="003A3A13">
        <w:rPr>
          <w:rFonts w:eastAsia="Times New Roman"/>
        </w:rPr>
        <w:t xml:space="preserve">, M., </w:t>
      </w:r>
      <w:proofErr w:type="spellStart"/>
      <w:r w:rsidRPr="003A3A13">
        <w:rPr>
          <w:rFonts w:eastAsia="Times New Roman"/>
        </w:rPr>
        <w:t>Latour</w:t>
      </w:r>
      <w:proofErr w:type="spellEnd"/>
      <w:r w:rsidRPr="003A3A13">
        <w:rPr>
          <w:rFonts w:eastAsia="Times New Roman"/>
        </w:rPr>
        <w:t xml:space="preserve">, B. (2006). </w:t>
      </w:r>
      <w:r w:rsidRPr="003A3A13">
        <w:rPr>
          <w:rFonts w:eastAsia="Times New Roman"/>
          <w:i/>
        </w:rPr>
        <w:t>Sociologie de la traduction, textes fondateurs</w:t>
      </w:r>
      <w:r w:rsidRPr="003A3A13">
        <w:rPr>
          <w:rFonts w:eastAsia="Times New Roman"/>
        </w:rPr>
        <w:t>. Presses de l'École des Mines.</w:t>
      </w:r>
    </w:p>
    <w:p w14:paraId="6C64A336" w14:textId="77777777" w:rsidR="00D627DF" w:rsidRPr="003A3A13" w:rsidRDefault="00D627DF" w:rsidP="008E5B91">
      <w:pPr>
        <w:spacing w:after="120"/>
        <w:jc w:val="both"/>
      </w:pPr>
      <w:proofErr w:type="spellStart"/>
      <w:r w:rsidRPr="003A3A13">
        <w:t>Bautier</w:t>
      </w:r>
      <w:proofErr w:type="spellEnd"/>
      <w:r w:rsidRPr="003A3A13">
        <w:t>, E. (</w:t>
      </w:r>
      <w:proofErr w:type="spellStart"/>
      <w:r w:rsidRPr="003A3A13">
        <w:t>dir</w:t>
      </w:r>
      <w:proofErr w:type="spellEnd"/>
      <w:r w:rsidRPr="003A3A13">
        <w:t xml:space="preserve">). (2006). </w:t>
      </w:r>
      <w:r w:rsidRPr="003A3A13">
        <w:rPr>
          <w:i/>
        </w:rPr>
        <w:t>Apprendre à l’école, apprendre l’école : des risques de construction des inégalités dès la maternelle</w:t>
      </w:r>
      <w:r w:rsidRPr="003A3A13">
        <w:t>. Lyon : éditions de la Chronique sociale.</w:t>
      </w:r>
    </w:p>
    <w:p w14:paraId="6BD6345E" w14:textId="77777777" w:rsidR="00D627DF" w:rsidRPr="003A3A13" w:rsidRDefault="00D627DF" w:rsidP="00D627DF">
      <w:pPr>
        <w:spacing w:after="120"/>
        <w:jc w:val="both"/>
      </w:pPr>
      <w:r w:rsidRPr="003A3A13">
        <w:t xml:space="preserve">Boltanski, L. &amp; Thévenot, L. (1991). </w:t>
      </w:r>
      <w:r w:rsidRPr="003A3A13">
        <w:rPr>
          <w:i/>
        </w:rPr>
        <w:t>De la justification</w:t>
      </w:r>
      <w:r w:rsidRPr="003A3A13">
        <w:t>. Paris : Gallimard.</w:t>
      </w:r>
    </w:p>
    <w:p w14:paraId="499BD070" w14:textId="1C7E08F3" w:rsidR="003A3A13" w:rsidRPr="003A3A13" w:rsidRDefault="00D627DF" w:rsidP="00D627DF">
      <w:pPr>
        <w:spacing w:after="120"/>
        <w:jc w:val="both"/>
      </w:pPr>
      <w:proofErr w:type="spellStart"/>
      <w:r w:rsidRPr="003A3A13">
        <w:t>Bouysse</w:t>
      </w:r>
      <w:proofErr w:type="spellEnd"/>
      <w:r w:rsidRPr="003A3A13">
        <w:t xml:space="preserve">, V., </w:t>
      </w:r>
      <w:proofErr w:type="spellStart"/>
      <w:r w:rsidRPr="003A3A13">
        <w:t>Clauss</w:t>
      </w:r>
      <w:proofErr w:type="spellEnd"/>
      <w:r w:rsidRPr="003A3A13">
        <w:t xml:space="preserve">, P. et </w:t>
      </w:r>
      <w:proofErr w:type="spellStart"/>
      <w:r w:rsidRPr="003A3A13">
        <w:t>Szymankiewicz</w:t>
      </w:r>
      <w:proofErr w:type="spellEnd"/>
      <w:r w:rsidRPr="003A3A13">
        <w:t xml:space="preserve">, C. (2011). </w:t>
      </w:r>
      <w:r w:rsidRPr="003A3A13">
        <w:rPr>
          <w:i/>
        </w:rPr>
        <w:t>L’école maternelle</w:t>
      </w:r>
      <w:r w:rsidRPr="003A3A13">
        <w:t xml:space="preserve">. Rapport n°2011-108. Paris : MEN. </w:t>
      </w:r>
    </w:p>
    <w:p w14:paraId="12E5362C" w14:textId="77777777" w:rsidR="00D627DF" w:rsidRPr="003A3A13" w:rsidRDefault="00D627DF" w:rsidP="00D627DF">
      <w:pPr>
        <w:spacing w:after="120"/>
        <w:jc w:val="both"/>
        <w:rPr>
          <w:bCs/>
        </w:rPr>
      </w:pPr>
      <w:r w:rsidRPr="003A3A13">
        <w:t xml:space="preserve">Carraud, F. (à paraître 2019). « Vieillir auprès des petits de l’école maternelle. Ethnographie d’un métier enseignant féminin spécifique à la France ». </w:t>
      </w:r>
      <w:r w:rsidRPr="003A3A13">
        <w:rPr>
          <w:i/>
        </w:rPr>
        <w:t>Durer dans le métier enseignant. Approche franco-allemande</w:t>
      </w:r>
      <w:r w:rsidRPr="003A3A13">
        <w:t>. Garcia, A.-L. &amp; Lantheaume, F. L’Harmattan, Thélème</w:t>
      </w:r>
      <w:r w:rsidRPr="003A3A13">
        <w:rPr>
          <w:bCs/>
        </w:rPr>
        <w:t>.</w:t>
      </w:r>
    </w:p>
    <w:p w14:paraId="7E5BF1C6" w14:textId="77777777" w:rsidR="00D627DF" w:rsidRPr="003A3A13" w:rsidRDefault="00D627DF" w:rsidP="00D627DF">
      <w:pPr>
        <w:spacing w:after="120"/>
        <w:jc w:val="both"/>
      </w:pPr>
      <w:r w:rsidRPr="003A3A13">
        <w:t xml:space="preserve">Carraud, F. (2016). « Confort, fatigue et satisfaction au travail dans une école maternelle ». </w:t>
      </w:r>
      <w:r w:rsidRPr="003A3A13">
        <w:rPr>
          <w:i/>
        </w:rPr>
        <w:t>Former les enseignants au XXI</w:t>
      </w:r>
      <w:r w:rsidRPr="003A3A13">
        <w:rPr>
          <w:i/>
          <w:vertAlign w:val="superscript"/>
        </w:rPr>
        <w:t>e</w:t>
      </w:r>
      <w:r w:rsidRPr="003A3A13">
        <w:rPr>
          <w:i/>
        </w:rPr>
        <w:t xml:space="preserve"> siècle. 2. Professionnalité des enseignants et de leurs formateurs</w:t>
      </w:r>
      <w:r w:rsidRPr="003A3A13">
        <w:t>. Ria, L. [</w:t>
      </w:r>
      <w:proofErr w:type="spellStart"/>
      <w:r w:rsidRPr="003A3A13">
        <w:t>dir</w:t>
      </w:r>
      <w:proofErr w:type="spellEnd"/>
      <w:r w:rsidRPr="003A3A13">
        <w:t xml:space="preserve">]. Bruxelles : De Boeck. </w:t>
      </w:r>
    </w:p>
    <w:p w14:paraId="28573730" w14:textId="77777777" w:rsidR="00D627DF" w:rsidRPr="003A3A13" w:rsidRDefault="00D627DF" w:rsidP="00D627DF">
      <w:pPr>
        <w:spacing w:after="120"/>
        <w:jc w:val="both"/>
      </w:pPr>
      <w:r w:rsidRPr="003A3A13">
        <w:t xml:space="preserve">Carraud, F. (2014). « Ma collègue Atsem : Vraiment ? ». </w:t>
      </w:r>
      <w:r w:rsidRPr="003A3A13">
        <w:rPr>
          <w:i/>
        </w:rPr>
        <w:t xml:space="preserve">Cahiers Pédagogiques </w:t>
      </w:r>
      <w:r w:rsidRPr="003A3A13">
        <w:t>n° 517.</w:t>
      </w:r>
      <w:r w:rsidRPr="003A3A13">
        <w:rPr>
          <w:i/>
        </w:rPr>
        <w:t xml:space="preserve"> Tout commence en maternelle</w:t>
      </w:r>
      <w:r w:rsidRPr="003A3A13">
        <w:t>.</w:t>
      </w:r>
    </w:p>
    <w:p w14:paraId="34ECE276" w14:textId="77777777" w:rsidR="00D627DF" w:rsidRPr="003A3A13" w:rsidRDefault="00D627DF" w:rsidP="00D627DF">
      <w:pPr>
        <w:spacing w:after="120"/>
        <w:jc w:val="both"/>
      </w:pPr>
      <w:r w:rsidRPr="003A3A13">
        <w:t xml:space="preserve">Carraud, F. (2013). « Enseignants de maternelle et Atsem : des métiers interdépendants ». </w:t>
      </w:r>
      <w:r w:rsidRPr="003A3A13">
        <w:rPr>
          <w:i/>
        </w:rPr>
        <w:t>Le Furet</w:t>
      </w:r>
      <w:r w:rsidRPr="003A3A13">
        <w:t xml:space="preserve"> n° 72. </w:t>
      </w:r>
      <w:r w:rsidRPr="003A3A13">
        <w:rPr>
          <w:rFonts w:eastAsia="Times New Roman"/>
          <w:i/>
        </w:rPr>
        <w:t>Pour la petite enfance : une mosaïque de métiers</w:t>
      </w:r>
      <w:r w:rsidRPr="003A3A13">
        <w:rPr>
          <w:rFonts w:eastAsia="Times New Roman"/>
        </w:rPr>
        <w:t>.</w:t>
      </w:r>
    </w:p>
    <w:p w14:paraId="7EB8A147" w14:textId="77777777" w:rsidR="00D627DF" w:rsidRPr="003A3A13" w:rsidRDefault="00D627DF" w:rsidP="00D627DF">
      <w:pPr>
        <w:spacing w:after="120"/>
        <w:jc w:val="both"/>
        <w:rPr>
          <w:rFonts w:eastAsia="Times New Roman"/>
        </w:rPr>
      </w:pPr>
      <w:r w:rsidRPr="003A3A13">
        <w:rPr>
          <w:rFonts w:eastAsia="Times New Roman"/>
        </w:rPr>
        <w:t xml:space="preserve">Carraud, F. (2013). « Produire des enfants performants ? Évolution du travail des enseignants à l'école maternelle ». </w:t>
      </w:r>
      <w:r w:rsidRPr="003A3A13">
        <w:rPr>
          <w:rFonts w:eastAsia="Times New Roman"/>
          <w:bCs/>
          <w:i/>
        </w:rPr>
        <w:t>Le Nouvel Observateur Société</w:t>
      </w:r>
      <w:r w:rsidRPr="003A3A13">
        <w:rPr>
          <w:rFonts w:eastAsia="Times New Roman"/>
          <w:bCs/>
        </w:rPr>
        <w:t xml:space="preserve">, </w:t>
      </w:r>
      <w:r w:rsidRPr="003A3A13">
        <w:rPr>
          <w:rFonts w:eastAsia="Times New Roman"/>
        </w:rPr>
        <w:t>Hors série n°1 : Être enseignant aujourd'hui.</w:t>
      </w:r>
    </w:p>
    <w:p w14:paraId="0C102DE3" w14:textId="77777777" w:rsidR="00D627DF" w:rsidRPr="003A3A13" w:rsidRDefault="00D627DF" w:rsidP="00D627DF">
      <w:pPr>
        <w:spacing w:after="120"/>
        <w:jc w:val="both"/>
      </w:pPr>
      <w:r w:rsidRPr="003A3A13">
        <w:t xml:space="preserve">Carraud, F. (2011). « Sur les traces de l'enfance. Lecture de </w:t>
      </w:r>
      <w:r w:rsidRPr="003A3A13">
        <w:rPr>
          <w:i/>
        </w:rPr>
        <w:t>Enfance obscure</w:t>
      </w:r>
      <w:r w:rsidRPr="003A3A13">
        <w:t xml:space="preserve"> de Pierre </w:t>
      </w:r>
      <w:proofErr w:type="spellStart"/>
      <w:r w:rsidRPr="003A3A13">
        <w:t>Péju</w:t>
      </w:r>
      <w:proofErr w:type="spellEnd"/>
      <w:r w:rsidRPr="003A3A13">
        <w:t xml:space="preserve"> » </w:t>
      </w:r>
      <w:r w:rsidRPr="003A3A13">
        <w:rPr>
          <w:i/>
        </w:rPr>
        <w:t xml:space="preserve">Sens public </w:t>
      </w:r>
      <w:r w:rsidRPr="003A3A13">
        <w:t>[Revue en ligne].</w:t>
      </w:r>
    </w:p>
    <w:p w14:paraId="63BD1223" w14:textId="77777777" w:rsidR="00D627DF" w:rsidRPr="003A3A13" w:rsidRDefault="00D627DF" w:rsidP="00D627DF">
      <w:pPr>
        <w:spacing w:after="120"/>
        <w:jc w:val="both"/>
      </w:pPr>
      <w:r w:rsidRPr="003A3A13">
        <w:t>Clot, Y. (2007). « De l’analyse des pratiques au développement des métiers ». Éduction et didactique, vol.1, n°1, p.83-93.</w:t>
      </w:r>
    </w:p>
    <w:p w14:paraId="676DBD27" w14:textId="77777777" w:rsidR="00D627DF" w:rsidRPr="003A3A13" w:rsidRDefault="00D627DF" w:rsidP="00D627DF">
      <w:pPr>
        <w:spacing w:after="120"/>
        <w:jc w:val="both"/>
        <w:rPr>
          <w:rFonts w:eastAsia="Times New Roman"/>
        </w:rPr>
      </w:pPr>
      <w:r w:rsidRPr="003A3A13">
        <w:rPr>
          <w:rFonts w:eastAsia="Times New Roman"/>
        </w:rPr>
        <w:t xml:space="preserve">Daniellou, F. (Ed.) (1996). </w:t>
      </w:r>
      <w:r w:rsidRPr="003A3A13">
        <w:rPr>
          <w:rStyle w:val="Accentuation"/>
          <w:rFonts w:eastAsia="Times New Roman"/>
        </w:rPr>
        <w:t>L’ergonomie en quête de ses principes, débats épistémologiques</w:t>
      </w:r>
      <w:r w:rsidRPr="003A3A13">
        <w:rPr>
          <w:rFonts w:eastAsia="Times New Roman"/>
        </w:rPr>
        <w:t>. Toulouse : Éditions Octarès.</w:t>
      </w:r>
    </w:p>
    <w:p w14:paraId="77FE6558" w14:textId="77777777" w:rsidR="00D627DF" w:rsidRPr="003A3A13" w:rsidRDefault="00D627DF" w:rsidP="00D627DF">
      <w:pPr>
        <w:spacing w:after="120"/>
        <w:jc w:val="both"/>
        <w:rPr>
          <w:rFonts w:eastAsia="Times New Roman"/>
        </w:rPr>
      </w:pPr>
      <w:r w:rsidRPr="003A3A13">
        <w:rPr>
          <w:rFonts w:eastAsia="Times New Roman"/>
        </w:rPr>
        <w:t xml:space="preserve">Garnier, P. (2016). </w:t>
      </w:r>
      <w:r w:rsidRPr="003A3A13">
        <w:rPr>
          <w:rFonts w:eastAsia="Times New Roman"/>
          <w:i/>
        </w:rPr>
        <w:t>Sociologie de l’école maternelle</w:t>
      </w:r>
      <w:r w:rsidRPr="003A3A13">
        <w:rPr>
          <w:rFonts w:eastAsia="Times New Roman"/>
        </w:rPr>
        <w:t>. Paris : PUF, Éducation et société.</w:t>
      </w:r>
    </w:p>
    <w:p w14:paraId="7582DB8C" w14:textId="77777777" w:rsidR="00D627DF" w:rsidRPr="003A3A13" w:rsidRDefault="00D627DF" w:rsidP="00D627DF">
      <w:pPr>
        <w:spacing w:after="120"/>
        <w:jc w:val="both"/>
        <w:rPr>
          <w:rFonts w:eastAsia="Times New Roman"/>
        </w:rPr>
      </w:pPr>
      <w:proofErr w:type="spellStart"/>
      <w:r w:rsidRPr="003A3A13">
        <w:rPr>
          <w:rFonts w:eastAsia="Times New Roman"/>
        </w:rPr>
        <w:t>Joigneaux</w:t>
      </w:r>
      <w:proofErr w:type="spellEnd"/>
      <w:r w:rsidRPr="003A3A13">
        <w:rPr>
          <w:rFonts w:eastAsia="Times New Roman"/>
        </w:rPr>
        <w:t xml:space="preserve">, C. (2009). « La construction de l’inégalité scolaire dès la maternelle ». </w:t>
      </w:r>
      <w:r w:rsidRPr="003A3A13">
        <w:rPr>
          <w:rFonts w:eastAsia="Times New Roman"/>
          <w:i/>
        </w:rPr>
        <w:t>Revue française de pédagogie</w:t>
      </w:r>
      <w:r w:rsidRPr="003A3A13">
        <w:rPr>
          <w:rFonts w:eastAsia="Times New Roman"/>
        </w:rPr>
        <w:t xml:space="preserve"> n° 169, </w:t>
      </w:r>
      <w:r w:rsidRPr="003A3A13">
        <w:rPr>
          <w:rFonts w:eastAsia="Times New Roman"/>
          <w:i/>
        </w:rPr>
        <w:t>Petite enfance et scolarisation</w:t>
      </w:r>
      <w:r w:rsidRPr="003A3A13">
        <w:rPr>
          <w:rFonts w:eastAsia="Times New Roman"/>
        </w:rPr>
        <w:t>, p.17-28.</w:t>
      </w:r>
    </w:p>
    <w:p w14:paraId="382D905B" w14:textId="77777777" w:rsidR="00D627DF" w:rsidRPr="003A3A13" w:rsidRDefault="00D627DF" w:rsidP="00D627DF">
      <w:pPr>
        <w:spacing w:after="120"/>
        <w:jc w:val="both"/>
        <w:rPr>
          <w:rFonts w:eastAsia="Times New Roman"/>
        </w:rPr>
      </w:pPr>
      <w:proofErr w:type="spellStart"/>
      <w:r w:rsidRPr="003A3A13">
        <w:t>Lahire</w:t>
      </w:r>
      <w:proofErr w:type="spellEnd"/>
      <w:r w:rsidRPr="003A3A13">
        <w:t xml:space="preserve">, B. (2008). « La forme scolaire dans tous ses états ». </w:t>
      </w:r>
      <w:proofErr w:type="spellStart"/>
      <w:r w:rsidRPr="003A3A13">
        <w:rPr>
          <w:i/>
        </w:rPr>
        <w:t>Théma</w:t>
      </w:r>
      <w:proofErr w:type="spellEnd"/>
      <w:r w:rsidRPr="003A3A13">
        <w:rPr>
          <w:i/>
        </w:rPr>
        <w:t>, Revue suisse des sciences de l’éducation</w:t>
      </w:r>
      <w:r w:rsidRPr="003A3A13">
        <w:t xml:space="preserve"> 30(2), pp.229-258.</w:t>
      </w:r>
    </w:p>
    <w:p w14:paraId="4707CEB2" w14:textId="77777777" w:rsidR="00D627DF" w:rsidRPr="003A3A13" w:rsidRDefault="00D627DF" w:rsidP="00D627DF">
      <w:pPr>
        <w:spacing w:after="120"/>
        <w:jc w:val="both"/>
        <w:rPr>
          <w:rFonts w:eastAsia="Times New Roman"/>
        </w:rPr>
      </w:pPr>
      <w:proofErr w:type="spellStart"/>
      <w:r w:rsidRPr="003A3A13">
        <w:t>Lahire</w:t>
      </w:r>
      <w:proofErr w:type="spellEnd"/>
      <w:r w:rsidRPr="003A3A13">
        <w:t xml:space="preserve">, B. (2008). </w:t>
      </w:r>
      <w:r w:rsidRPr="003A3A13">
        <w:rPr>
          <w:rStyle w:val="Accentuation"/>
          <w:rFonts w:eastAsia="Times New Roman"/>
        </w:rPr>
        <w:t>La raison scolaire. École et pratiques d’écriture, entre savoir et pouvoir.</w:t>
      </w:r>
      <w:r w:rsidRPr="003A3A13">
        <w:rPr>
          <w:rFonts w:eastAsia="Times New Roman"/>
        </w:rPr>
        <w:t xml:space="preserve"> Rennes : PUR.</w:t>
      </w:r>
    </w:p>
    <w:p w14:paraId="11916220" w14:textId="77777777" w:rsidR="00D627DF" w:rsidRPr="003A3A13" w:rsidRDefault="00D627DF" w:rsidP="00D627DF">
      <w:pPr>
        <w:spacing w:after="120"/>
        <w:jc w:val="both"/>
        <w:rPr>
          <w:rFonts w:eastAsia="Times New Roman"/>
          <w:bCs/>
        </w:rPr>
      </w:pPr>
      <w:r w:rsidRPr="003A3A13">
        <w:rPr>
          <w:rFonts w:eastAsia="Times New Roman"/>
          <w:bCs/>
        </w:rPr>
        <w:t xml:space="preserve">Luc, J.-N. (1997). </w:t>
      </w:r>
      <w:r w:rsidRPr="003A3A13">
        <w:rPr>
          <w:rFonts w:eastAsia="Times New Roman"/>
          <w:bCs/>
          <w:i/>
          <w:iCs/>
        </w:rPr>
        <w:t>L’Invention du jeune enfant : de la salle d’asile à l’école maternelle</w:t>
      </w:r>
      <w:r w:rsidRPr="003A3A13">
        <w:rPr>
          <w:rFonts w:eastAsia="Times New Roman"/>
          <w:bCs/>
        </w:rPr>
        <w:t>. Paris : Belin.</w:t>
      </w:r>
    </w:p>
    <w:p w14:paraId="116E28D7" w14:textId="77777777" w:rsidR="00D627DF" w:rsidRPr="003A3A13" w:rsidRDefault="00D627DF" w:rsidP="00D627DF">
      <w:pPr>
        <w:spacing w:after="120"/>
        <w:jc w:val="both"/>
      </w:pPr>
      <w:proofErr w:type="spellStart"/>
      <w:r w:rsidRPr="003A3A13">
        <w:t>Péju</w:t>
      </w:r>
      <w:proofErr w:type="spellEnd"/>
      <w:r w:rsidRPr="003A3A13">
        <w:t xml:space="preserve">, P. (2011). </w:t>
      </w:r>
      <w:r w:rsidRPr="003A3A13">
        <w:rPr>
          <w:i/>
        </w:rPr>
        <w:t>Enfance Obscure</w:t>
      </w:r>
      <w:r w:rsidRPr="003A3A13">
        <w:t>. Paris : Gallimard.</w:t>
      </w:r>
    </w:p>
    <w:p w14:paraId="4A2170F5" w14:textId="77777777" w:rsidR="00D627DF" w:rsidRPr="003A3A13" w:rsidRDefault="00D627DF" w:rsidP="00D627DF">
      <w:pPr>
        <w:spacing w:after="120"/>
        <w:jc w:val="both"/>
        <w:rPr>
          <w:rFonts w:eastAsia="Times New Roman"/>
          <w:bCs/>
        </w:rPr>
      </w:pPr>
      <w:proofErr w:type="spellStart"/>
      <w:r w:rsidRPr="003A3A13">
        <w:rPr>
          <w:rFonts w:eastAsia="Times New Roman"/>
          <w:bCs/>
        </w:rPr>
        <w:t>Pinsolle</w:t>
      </w:r>
      <w:proofErr w:type="spellEnd"/>
      <w:r w:rsidRPr="003A3A13">
        <w:rPr>
          <w:rFonts w:eastAsia="Times New Roman"/>
          <w:bCs/>
        </w:rPr>
        <w:t xml:space="preserve">, J. (2017). </w:t>
      </w:r>
      <w:r w:rsidRPr="003A3A13">
        <w:rPr>
          <w:rFonts w:eastAsia="Times New Roman"/>
          <w:bCs/>
          <w:i/>
        </w:rPr>
        <w:t>Une question d’autorité ? Les pratiques d’éducation familiales</w:t>
      </w:r>
      <w:r w:rsidRPr="003A3A13">
        <w:rPr>
          <w:rFonts w:eastAsia="Times New Roman"/>
          <w:bCs/>
        </w:rPr>
        <w:t>. Paris : PUF</w:t>
      </w:r>
    </w:p>
    <w:p w14:paraId="7FF75153" w14:textId="77777777" w:rsidR="00D627DF" w:rsidRPr="003A3A13" w:rsidRDefault="00D627DF" w:rsidP="00D627DF">
      <w:pPr>
        <w:spacing w:after="120"/>
        <w:jc w:val="both"/>
      </w:pPr>
      <w:r w:rsidRPr="003A3A13">
        <w:t xml:space="preserve">Plaisance, E. (1996). </w:t>
      </w:r>
      <w:r w:rsidRPr="003A3A13">
        <w:rPr>
          <w:i/>
        </w:rPr>
        <w:t>Pauline Kergomard et l’école maternelle</w:t>
      </w:r>
      <w:r w:rsidRPr="003A3A13">
        <w:t>. Paris : PUF.</w:t>
      </w:r>
    </w:p>
    <w:p w14:paraId="4DF7D3B0" w14:textId="77777777" w:rsidR="00D627DF" w:rsidRPr="003A3A13" w:rsidRDefault="00D627DF" w:rsidP="00D627DF">
      <w:pPr>
        <w:spacing w:after="120"/>
        <w:jc w:val="both"/>
      </w:pPr>
      <w:proofErr w:type="spellStart"/>
      <w:r w:rsidRPr="003A3A13">
        <w:t>Renaut</w:t>
      </w:r>
      <w:proofErr w:type="spellEnd"/>
      <w:r w:rsidRPr="003A3A13">
        <w:t xml:space="preserve">, A. (2002). </w:t>
      </w:r>
      <w:r w:rsidRPr="003A3A13">
        <w:rPr>
          <w:i/>
        </w:rPr>
        <w:t>La libération des enfants. Contribution philosophique à une histoire de l’enfance</w:t>
      </w:r>
      <w:r w:rsidRPr="003A3A13">
        <w:t xml:space="preserve">. Paris : </w:t>
      </w:r>
      <w:proofErr w:type="spellStart"/>
      <w:r w:rsidRPr="003A3A13">
        <w:t>Calman-Lévy</w:t>
      </w:r>
      <w:proofErr w:type="spellEnd"/>
      <w:r w:rsidRPr="003A3A13">
        <w:t>, Bayard.</w:t>
      </w:r>
    </w:p>
    <w:p w14:paraId="3780EE90" w14:textId="77777777" w:rsidR="00D627DF" w:rsidRPr="003A3A13" w:rsidRDefault="00D627DF" w:rsidP="00D627DF">
      <w:pPr>
        <w:spacing w:after="120"/>
        <w:jc w:val="both"/>
      </w:pPr>
      <w:r w:rsidRPr="003A3A13">
        <w:t xml:space="preserve">Robert, A.-D., &amp; Carraud, F. (2018). </w:t>
      </w:r>
      <w:r w:rsidRPr="003A3A13">
        <w:rPr>
          <w:i/>
        </w:rPr>
        <w:t>Professeurs des écoles au XXI</w:t>
      </w:r>
      <w:r w:rsidRPr="003A3A13">
        <w:rPr>
          <w:i/>
          <w:vertAlign w:val="superscript"/>
        </w:rPr>
        <w:t>e</w:t>
      </w:r>
      <w:r w:rsidRPr="003A3A13">
        <w:rPr>
          <w:i/>
        </w:rPr>
        <w:t xml:space="preserve"> siècle. Portraits socioprofessionnels. </w:t>
      </w:r>
      <w:r w:rsidRPr="003A3A13">
        <w:t>Paris : PUF.</w:t>
      </w:r>
    </w:p>
    <w:p w14:paraId="684CEC2B" w14:textId="77777777" w:rsidR="00D627DF" w:rsidRPr="003A3A13" w:rsidRDefault="00D627DF" w:rsidP="00D627DF">
      <w:pPr>
        <w:spacing w:after="120"/>
        <w:jc w:val="both"/>
      </w:pPr>
      <w:r w:rsidRPr="003A3A13">
        <w:t>Sirota, R. (</w:t>
      </w:r>
      <w:proofErr w:type="spellStart"/>
      <w:r w:rsidRPr="003A3A13">
        <w:t>dir</w:t>
      </w:r>
      <w:proofErr w:type="spellEnd"/>
      <w:r w:rsidRPr="003A3A13">
        <w:t xml:space="preserve">.). (2006). </w:t>
      </w:r>
      <w:r w:rsidRPr="003A3A13">
        <w:rPr>
          <w:i/>
        </w:rPr>
        <w:t>Éléments pour une sociologie de l’enfance</w:t>
      </w:r>
      <w:r w:rsidRPr="003A3A13">
        <w:t xml:space="preserve">. Rennes : Presses universitaires de Rennes. </w:t>
      </w:r>
    </w:p>
    <w:p w14:paraId="6A0D1000" w14:textId="43848A6D" w:rsidR="00D627DF" w:rsidRPr="003A3A13" w:rsidRDefault="00D627DF" w:rsidP="00D627DF">
      <w:pPr>
        <w:spacing w:after="120"/>
        <w:jc w:val="both"/>
      </w:pPr>
      <w:r w:rsidRPr="003A3A13">
        <w:t xml:space="preserve">Vincent, G. (1980). </w:t>
      </w:r>
      <w:r w:rsidRPr="003A3A13">
        <w:rPr>
          <w:i/>
        </w:rPr>
        <w:t>L’école primaire française. Étude sociologique</w:t>
      </w:r>
      <w:r w:rsidRPr="003A3A13">
        <w:t xml:space="preserve">. Lyon : Presse </w:t>
      </w:r>
      <w:r w:rsidR="00A37601" w:rsidRPr="003A3A13">
        <w:t>universitaires</w:t>
      </w:r>
      <w:r w:rsidRPr="003A3A13">
        <w:t xml:space="preserve"> de Lyon.</w:t>
      </w:r>
    </w:p>
    <w:p w14:paraId="2080C38E" w14:textId="77777777" w:rsidR="0052607D" w:rsidRPr="003A3A13" w:rsidRDefault="0052607D"/>
    <w:sectPr w:rsidR="0052607D" w:rsidRPr="003A3A13" w:rsidSect="005260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F"/>
    <w:rsid w:val="00102704"/>
    <w:rsid w:val="003A3A13"/>
    <w:rsid w:val="0052607D"/>
    <w:rsid w:val="008A3EE7"/>
    <w:rsid w:val="008E5B91"/>
    <w:rsid w:val="008F0F1C"/>
    <w:rsid w:val="0094424D"/>
    <w:rsid w:val="00A37601"/>
    <w:rsid w:val="00D627DF"/>
    <w:rsid w:val="00DD25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15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627DF"/>
    <w:rPr>
      <w:i/>
      <w:iCs/>
    </w:rPr>
  </w:style>
  <w:style w:type="character" w:styleId="Lienhypertexte">
    <w:name w:val="Hyperlink"/>
    <w:basedOn w:val="Policepardfaut"/>
    <w:uiPriority w:val="99"/>
    <w:unhideWhenUsed/>
    <w:rsid w:val="003A3A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627DF"/>
    <w:rPr>
      <w:i/>
      <w:iCs/>
    </w:rPr>
  </w:style>
  <w:style w:type="character" w:styleId="Lienhypertexte">
    <w:name w:val="Hyperlink"/>
    <w:basedOn w:val="Policepardfaut"/>
    <w:uiPriority w:val="99"/>
    <w:unhideWhenUsed/>
    <w:rsid w:val="003A3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1001</Words>
  <Characters>5511</Characters>
  <Application>Microsoft Macintosh Word</Application>
  <DocSecurity>0</DocSecurity>
  <Lines>45</Lines>
  <Paragraphs>12</Paragraphs>
  <ScaleCrop>false</ScaleCrop>
  <Company>ISPEF</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Carraud Françoise</dc:creator>
  <cp:keywords/>
  <dc:description/>
  <cp:lastModifiedBy>Carraud Françoise</cp:lastModifiedBy>
  <cp:revision>8</cp:revision>
  <dcterms:created xsi:type="dcterms:W3CDTF">2018-11-12T08:44:00Z</dcterms:created>
  <dcterms:modified xsi:type="dcterms:W3CDTF">2019-06-21T07:45:00Z</dcterms:modified>
</cp:coreProperties>
</file>